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Monday, August 13,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EXCEED ALLOWABLE GROWTH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3.675% and accessing the applicable growth rate of 4.675%.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80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Growth Rate of 3.6375% and accessing the applicable growth rate of 4.6375%.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Seminar Period (Senior High School)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Reading Program 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Annual Appointment of the Superintendent to sign for federal and state grants and funds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Resolution for Cooperative Agreement with Southwest Public Schools for Boys &amp; Girls Swimming for 2007-2008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Staff/Personnel Observations &amp; Analogies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VIII.       Adjourn</w:t>
        <w:tab/>
      </w:r>
    </w:p>
    <w:sectPr>
      <w:footerReference r:id="rId5" w:type="default"/>
      <w:pgSz w:h="15840" w:w="12240"/>
      <w:pgMar w:bottom="432" w:top="432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07.08.13  board  agenda</w:t>
      <w:tab/>
      <w:t xml:space="preserve">12 August 2008</w:t>
      <w:tab/>
      <w:t xml:space="preserve">8:37:33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44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